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D5" w:rsidRDefault="000122DD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-906780</wp:posOffset>
            </wp:positionV>
            <wp:extent cx="7534910" cy="4768215"/>
            <wp:effectExtent l="88900" t="88900" r="15240" b="19685"/>
            <wp:wrapNone/>
            <wp:docPr id="13" name="图片 3" descr="E:\肖风工作常用\新版课程大纲\图片素材\课钢顶图\twi.jpgt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E:\肖风工作常用\新版课程大纲\图片素材\课钢顶图\twi.jpgtwi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4768215"/>
                    </a:xfrm>
                    <a:prstGeom prst="rect">
                      <a:avLst/>
                    </a:prstGeom>
                    <a:noFill/>
                    <a:ln w="12700" cap="flat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prstShdw prst="shdw13" dist="53882" dir="13499999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4508D5" w:rsidRPr="004508D5">
        <w:rPr>
          <w:sz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" o:spid="_x0000_s1026" type="#_x0000_t176" style="position:absolute;left:0;text-align:left;margin-left:-34.35pt;margin-top:-42.65pt;width:514.8pt;height:290.2pt;rotation:7;z-index:251660288;mso-position-horizontal-relative:text;mso-position-vertical-relative:text" o:gfxdata="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JgBLfaAAAACwEAAA8AAAAAAAAAAQAgAAAAIgAAAGRy&#10;cy9kb3ducmV2LnhtbFBLAQIUABQAAAAIAIdO4kC9ZDk5AwIAANIDAAAOAAAAAAAAAAEAIAAAACkB&#10;AABkcnMvZTJvRG9jLnhtbFBLBQYAAAAABgAGAFkBAACeBQAAAAA=&#10;" filled="f" strokecolor="#bfbfbf" strokeweight="4.5pt"/>
        </w:pict>
      </w: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44"/>
          <w:szCs w:val="44"/>
        </w:rPr>
      </w:pPr>
    </w:p>
    <w:p w:rsidR="004508D5" w:rsidRDefault="004508D5">
      <w:pPr>
        <w:spacing w:line="840" w:lineRule="exact"/>
        <w:jc w:val="right"/>
        <w:rPr>
          <w:rFonts w:ascii="宋体" w:eastAsia="宋体" w:hAnsi="宋体" w:cs="宋体"/>
          <w:b/>
          <w:bCs/>
          <w:color w:val="0070C0"/>
          <w:sz w:val="72"/>
          <w:szCs w:val="72"/>
        </w:rPr>
      </w:pPr>
    </w:p>
    <w:p w:rsidR="004508D5" w:rsidRDefault="004508D5">
      <w:pPr>
        <w:spacing w:line="840" w:lineRule="exact"/>
        <w:jc w:val="center"/>
        <w:rPr>
          <w:rFonts w:ascii="宋体" w:eastAsia="宋体" w:hAnsi="宋体" w:cs="宋体"/>
          <w:b/>
          <w:bCs/>
          <w:color w:val="5B9BD5" w:themeColor="accent1"/>
          <w:sz w:val="72"/>
          <w:szCs w:val="72"/>
        </w:rPr>
      </w:pPr>
    </w:p>
    <w:p w:rsidR="004508D5" w:rsidRDefault="000122DD">
      <w:pPr>
        <w:spacing w:line="840" w:lineRule="exact"/>
        <w:jc w:val="center"/>
        <w:rPr>
          <w:rFonts w:ascii="宋体" w:eastAsia="宋体" w:hAnsi="宋体" w:cs="宋体"/>
          <w:b/>
          <w:bCs/>
          <w:color w:val="0070C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5B9BD5" w:themeColor="accent1"/>
          <w:sz w:val="72"/>
          <w:szCs w:val="72"/>
        </w:rPr>
        <w:t>TWI</w:t>
      </w:r>
      <w:r>
        <w:rPr>
          <w:rFonts w:ascii="宋体" w:eastAsia="宋体" w:hAnsi="宋体" w:cs="宋体" w:hint="eastAsia"/>
          <w:b/>
          <w:bCs/>
          <w:color w:val="5B9BD5" w:themeColor="accent1"/>
          <w:sz w:val="72"/>
          <w:szCs w:val="72"/>
        </w:rPr>
        <w:t>一线主管综合技能训练</w:t>
      </w:r>
    </w:p>
    <w:p w:rsidR="004508D5" w:rsidRDefault="004508D5" w:rsidP="00E41F50">
      <w:pPr>
        <w:spacing w:beforeLines="100" w:line="400" w:lineRule="exact"/>
        <w:rPr>
          <w:rStyle w:val="yahei"/>
          <w:rFonts w:ascii="黑体" w:eastAsia="黑体" w:hAnsi="黑体" w:cs="黑体"/>
          <w:b/>
          <w:bCs/>
          <w:color w:val="7E7E7E"/>
          <w:sz w:val="22"/>
          <w:szCs w:val="21"/>
        </w:rPr>
      </w:pPr>
    </w:p>
    <w:p w:rsidR="004508D5" w:rsidRDefault="004508D5" w:rsidP="00E41F50">
      <w:pPr>
        <w:spacing w:line="400" w:lineRule="exact"/>
        <w:rPr>
          <w:rStyle w:val="yahei"/>
          <w:rFonts w:ascii="黑体" w:eastAsia="黑体" w:hAnsi="黑体" w:cs="黑体"/>
          <w:b/>
          <w:bCs/>
          <w:color w:val="7E7E7E"/>
          <w:sz w:val="22"/>
          <w:szCs w:val="21"/>
        </w:rPr>
      </w:pPr>
    </w:p>
    <w:p w:rsidR="004508D5" w:rsidRDefault="004508D5">
      <w:pPr>
        <w:spacing w:line="255" w:lineRule="exact"/>
        <w:rPr>
          <w:rFonts w:ascii="黑体" w:eastAsia="黑体" w:hAnsi="黑体" w:cs="黑体"/>
        </w:rPr>
      </w:pPr>
    </w:p>
    <w:p w:rsidR="004508D5" w:rsidRDefault="004508D5">
      <w:pPr>
        <w:spacing w:line="0" w:lineRule="atLeast"/>
        <w:ind w:right="260"/>
        <w:rPr>
          <w:rFonts w:ascii="Arial" w:eastAsia="宋体" w:hAnsi="Arial"/>
          <w:b/>
          <w:color w:val="66391B"/>
          <w:sz w:val="20"/>
          <w:szCs w:val="20"/>
        </w:rPr>
        <w:sectPr w:rsidR="004508D5">
          <w:footerReference w:type="default" r:id="rId9"/>
          <w:pgSz w:w="11900" w:h="16157"/>
          <w:pgMar w:top="1440" w:right="1080" w:bottom="1440" w:left="1080" w:header="0" w:footer="0" w:gutter="0"/>
          <w:cols w:space="720"/>
          <w:docGrid w:linePitch="360"/>
        </w:sectPr>
      </w:pPr>
    </w:p>
    <w:p w:rsidR="004508D5" w:rsidRDefault="004508D5">
      <w:pPr>
        <w:spacing w:line="840" w:lineRule="exact"/>
        <w:jc w:val="right"/>
        <w:rPr>
          <w:rStyle w:val="yahei"/>
          <w:rFonts w:ascii="黑体" w:eastAsia="黑体" w:hAnsi="黑体" w:cs="黑体"/>
          <w:b/>
          <w:bCs/>
          <w:color w:val="262626"/>
          <w:sz w:val="22"/>
          <w:szCs w:val="21"/>
        </w:rPr>
      </w:pPr>
      <w:r w:rsidRPr="004508D5">
        <w:rPr>
          <w:sz w:val="40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7" o:spid="_x0000_s1038" type="#_x0000_t109" style="position:absolute;left:0;text-align:left;margin-left:65.45pt;margin-top:-49.6pt;width:327.8pt;height:55.7pt;z-index:251663360" o:gfxdata="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PsXptUAAAAKAQAADwAAAAAA&#10;AAABACAAAAAiAAAAZHJzL2Rvd25yZXYueG1sUEsBAhQAFAAAAAgAh07iQGwO4g6kAQAAEAMAAA4A&#10;AAAAAAAAAQAgAAAAJAEAAGRycy9lMm9Eb2MueG1sUEsFBgAAAAAGAAYAWQEAADoFAAAAAA==&#10;" filled="f" stroked="f" strokeweight="1.25pt">
            <v:textbox>
              <w:txbxContent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A5A5A5" w:themeColor="accent3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TWI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一线主管综合技能训练</w:t>
                  </w:r>
                </w:p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color w:val="0000CC"/>
                      <w:sz w:val="44"/>
                      <w:szCs w:val="44"/>
                    </w:rPr>
                    <w:t xml:space="preserve">        </w:t>
                  </w: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Pr="004508D5">
        <w:pict>
          <v:rect id="矩形 5" o:spid="_x0000_s1037" style="position:absolute;left:0;text-align:left;margin-left:-54.95pt;margin-top:34pt;width:600.85pt;height:6pt;flip:y;z-index:251661312;v-text-anchor:middle" o:gfxdata="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x0gpnXAAAACgEAAA8AAAAAAAAAAQAgAAAAIgAAAGRycy9kb3ducmV2LnhtbFBLAQIUABQAAAAI&#10;AIdO4kAAUrHjJwIAAG8EAAAOAAAAAAAAAAEAIAAAACYBAABkcnMvZTJvRG9jLnhtbFBLBQYAAAAA&#10;BgAGAFkBAAC/BQAAAAA=&#10;" fillcolor="#9dc3e6" stroked="f" strokeweight="1pt">
            <v:fill color2="#0b6e38" rotate="t" angle="45" focus="100%" type="gradient">
              <o:fill v:ext="view" type="gradientUnscaled"/>
            </v:fill>
          </v:rect>
        </w:pict>
      </w:r>
      <w:r w:rsidR="000122DD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-1059815</wp:posOffset>
            </wp:positionV>
            <wp:extent cx="7872095" cy="1484630"/>
            <wp:effectExtent l="0" t="76200" r="90805" b="1270"/>
            <wp:wrapNone/>
            <wp:docPr id="17" name="图片 6" descr="E:\肖风工作常用\新版课程大纲\图片素材\banner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E:\肖风工作常用\新版课程大纲\图片素材\banner\10.jpg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08D5" w:rsidRDefault="004508D5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</w:p>
    <w:p w:rsidR="004508D5" w:rsidRDefault="000122DD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  <w:r>
        <w:rPr>
          <w:rFonts w:ascii="黑体" w:eastAsia="黑体" w:hAnsi="黑体" w:cs="黑体" w:hint="eastAsia"/>
          <w:b/>
          <w:bCs/>
          <w:color w:val="ED7D31" w:themeColor="accent2"/>
          <w:sz w:val="24"/>
        </w:rPr>
        <w:t>课程背景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ＴＷＩ课程产生于</w:t>
      </w:r>
      <w:r>
        <w:rPr>
          <w:rFonts w:ascii="黑体" w:eastAsia="黑体" w:hAnsi="黑体" w:cs="黑体" w:hint="eastAsia"/>
          <w:bCs/>
          <w:szCs w:val="21"/>
        </w:rPr>
        <w:t>30</w:t>
      </w:r>
      <w:r>
        <w:rPr>
          <w:rFonts w:ascii="黑体" w:eastAsia="黑体" w:hAnsi="黑体" w:cs="黑体" w:hint="eastAsia"/>
          <w:bCs/>
          <w:szCs w:val="21"/>
        </w:rPr>
        <w:t>年代的美国。当时，正值第二次世界大战。美国动员了大量没有工作经验的人，让他们从事制造业。由于战争，进行职外的培训，几乎不太可能。因此，所有的适应性训练和生产性训练都融入到了工作当中。这就迫切需要开发出在生产线上能进行培训的课程。在此历史背景之下，开发出了现场管理者的第一个能力提高训练法——“操作指导技法”。后来相继开发出了“操作改善技法”，“人际关系技法”、“安全操作技法”。从而，形成了较完整的现场管理者培训课程。</w:t>
      </w:r>
      <w:r>
        <w:rPr>
          <w:rFonts w:ascii="黑体" w:eastAsia="黑体" w:hAnsi="黑体" w:cs="黑体" w:hint="eastAsia"/>
          <w:bCs/>
          <w:szCs w:val="21"/>
        </w:rPr>
        <w:t xml:space="preserve"> </w:t>
      </w:r>
    </w:p>
    <w:p w:rsidR="004508D5" w:rsidRDefault="000122DD" w:rsidP="00E41F50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何谓一课三训？</w:t>
      </w:r>
    </w:p>
    <w:p w:rsidR="004508D5" w:rsidRDefault="000122DD" w:rsidP="00E41F50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预训阶段</w:t>
      </w:r>
      <w:r>
        <w:rPr>
          <w:rFonts w:ascii="黑体" w:eastAsia="黑体" w:hAnsi="黑体" w:cs="黑体" w:hint="eastAsia"/>
          <w:bCs/>
          <w:szCs w:val="21"/>
        </w:rPr>
        <w:t>——也就是培训开始前一周</w:t>
      </w:r>
      <w:r>
        <w:rPr>
          <w:rFonts w:ascii="黑体" w:eastAsia="黑体" w:hAnsi="黑体" w:cs="黑体" w:hint="eastAsia"/>
          <w:bCs/>
          <w:szCs w:val="21"/>
        </w:rPr>
        <w:t>,</w:t>
      </w:r>
      <w:r>
        <w:rPr>
          <w:rFonts w:ascii="黑体" w:eastAsia="黑体" w:hAnsi="黑体" w:cs="黑体" w:hint="eastAsia"/>
          <w:bCs/>
          <w:szCs w:val="21"/>
        </w:rPr>
        <w:t>我们会给到学员一份学</w:t>
      </w:r>
      <w:r>
        <w:rPr>
          <w:rFonts w:ascii="黑体" w:eastAsia="黑体" w:hAnsi="黑体" w:cs="黑体" w:hint="eastAsia"/>
          <w:bCs/>
          <w:szCs w:val="21"/>
        </w:rPr>
        <w:t>习资料，让学员对培训有思想准备、学习准备、待解决问题准备，预训就是培训的开始。</w:t>
      </w:r>
    </w:p>
    <w:p w:rsidR="004508D5" w:rsidRDefault="000122DD" w:rsidP="00E41F50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正训阶段</w:t>
      </w:r>
      <w:r>
        <w:rPr>
          <w:rFonts w:ascii="黑体" w:eastAsia="黑体" w:hAnsi="黑体" w:cs="黑体" w:hint="eastAsia"/>
          <w:bCs/>
          <w:szCs w:val="21"/>
        </w:rPr>
        <w:t>——就是培训开展当天，老师根据学员、客户的反馈运用理论讲授、小组讨论、视频分享等方式给学员方法、工具、资料。</w:t>
      </w:r>
    </w:p>
    <w:p w:rsidR="004508D5" w:rsidRDefault="000122DD" w:rsidP="00E41F50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自训阶段</w:t>
      </w:r>
      <w:r>
        <w:rPr>
          <w:rFonts w:ascii="黑体" w:eastAsia="黑体" w:hAnsi="黑体" w:cs="黑体" w:hint="eastAsia"/>
          <w:bCs/>
          <w:szCs w:val="21"/>
        </w:rPr>
        <w:t>——一堂技能课程仅靠两天的学习还不够，为了帮助学员训后进一步将所学内容运用到实际工作中，我们会给到学员一份自我学习详细资料。</w:t>
      </w:r>
    </w:p>
    <w:p w:rsidR="004508D5" w:rsidRDefault="004508D5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</w:p>
    <w:p w:rsidR="004508D5" w:rsidRDefault="000122DD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  <w:r>
        <w:rPr>
          <w:rFonts w:ascii="黑体" w:eastAsia="黑体" w:hAnsi="黑体" w:cs="黑体" w:hint="eastAsia"/>
          <w:b/>
          <w:bCs/>
          <w:color w:val="ED7D31" w:themeColor="accent2"/>
          <w:sz w:val="24"/>
        </w:rPr>
        <w:t>课程特色</w:t>
      </w:r>
    </w:p>
    <w:p w:rsidR="004508D5" w:rsidRDefault="000122DD" w:rsidP="00E41F50">
      <w:pPr>
        <w:spacing w:beforeLines="50"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实践训练法，确保学员掌握技能，直接输出结果，培训模式采用互动小组讨论</w:t>
      </w:r>
      <w:r>
        <w:rPr>
          <w:rFonts w:ascii="黑体" w:eastAsia="黑体" w:hAnsi="黑体" w:cs="黑体" w:hint="eastAsia"/>
          <w:bCs/>
          <w:szCs w:val="21"/>
        </w:rPr>
        <w:t>+</w:t>
      </w:r>
      <w:r>
        <w:rPr>
          <w:rFonts w:ascii="黑体" w:eastAsia="黑体" w:hAnsi="黑体" w:cs="黑体" w:hint="eastAsia"/>
          <w:bCs/>
          <w:szCs w:val="21"/>
        </w:rPr>
        <w:t>游戏模拟方式，确保培训效果最大化。</w:t>
      </w:r>
      <w:r>
        <w:rPr>
          <w:rFonts w:ascii="黑体" w:eastAsia="黑体" w:hAnsi="黑体" w:cs="黑体" w:hint="eastAsia"/>
          <w:b/>
          <w:szCs w:val="21"/>
        </w:rPr>
        <w:t>40%</w:t>
      </w:r>
      <w:r>
        <w:rPr>
          <w:rFonts w:ascii="黑体" w:eastAsia="黑体" w:hAnsi="黑体" w:cs="黑体" w:hint="eastAsia"/>
          <w:b/>
          <w:szCs w:val="21"/>
        </w:rPr>
        <w:t>理论：</w:t>
      </w:r>
      <w:r>
        <w:rPr>
          <w:rFonts w:ascii="黑体" w:eastAsia="黑体" w:hAnsi="黑体" w:cs="黑体" w:hint="eastAsia"/>
          <w:bCs/>
          <w:szCs w:val="21"/>
        </w:rPr>
        <w:t>通俗易懂的、系统的阐述理念、工具、方法的理论体系；</w:t>
      </w:r>
      <w:r>
        <w:rPr>
          <w:rFonts w:ascii="黑体" w:eastAsia="黑体" w:hAnsi="黑体" w:cs="黑体" w:hint="eastAsia"/>
          <w:b/>
          <w:szCs w:val="21"/>
        </w:rPr>
        <w:t>60%</w:t>
      </w:r>
      <w:r>
        <w:rPr>
          <w:rFonts w:ascii="黑体" w:eastAsia="黑体" w:hAnsi="黑体" w:cs="黑体" w:hint="eastAsia"/>
          <w:b/>
          <w:szCs w:val="21"/>
        </w:rPr>
        <w:t>实践</w:t>
      </w:r>
      <w:r>
        <w:rPr>
          <w:rFonts w:ascii="黑体" w:eastAsia="黑体" w:hAnsi="黑体" w:cs="黑体" w:hint="eastAsia"/>
          <w:b/>
          <w:szCs w:val="21"/>
        </w:rPr>
        <w:t>:</w:t>
      </w:r>
      <w:r>
        <w:rPr>
          <w:rFonts w:ascii="黑体" w:eastAsia="黑体" w:hAnsi="黑体" w:cs="黑体" w:hint="eastAsia"/>
          <w:bCs/>
          <w:szCs w:val="21"/>
        </w:rPr>
        <w:t xml:space="preserve"> </w:t>
      </w:r>
      <w:r>
        <w:rPr>
          <w:rFonts w:ascii="黑体" w:eastAsia="黑体" w:hAnsi="黑体" w:cs="黑体" w:hint="eastAsia"/>
          <w:bCs/>
          <w:szCs w:val="21"/>
        </w:rPr>
        <w:t>教授小组到工厂现场观察流程、分析流程、找出问题和改进机会；指导小组实际运用工具、方法完成培训课题，培训结束产生收益；</w:t>
      </w:r>
    </w:p>
    <w:p w:rsidR="004508D5" w:rsidRDefault="004508D5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</w:p>
    <w:p w:rsidR="004508D5" w:rsidRDefault="000122DD" w:rsidP="00E41F50">
      <w:pPr>
        <w:spacing w:beforeLines="50" w:afterLines="50"/>
        <w:rPr>
          <w:rFonts w:ascii="黑体" w:eastAsia="黑体" w:hAnsi="黑体" w:cs="黑体"/>
          <w:b/>
          <w:bCs/>
          <w:color w:val="ED7D31" w:themeColor="accent2"/>
          <w:sz w:val="24"/>
        </w:rPr>
      </w:pPr>
      <w:r>
        <w:rPr>
          <w:rFonts w:ascii="黑体" w:eastAsia="黑体" w:hAnsi="黑体" w:cs="黑体" w:hint="eastAsia"/>
          <w:b/>
          <w:bCs/>
          <w:color w:val="ED7D31" w:themeColor="accent2"/>
          <w:sz w:val="24"/>
        </w:rPr>
        <w:t>课程实况</w:t>
      </w:r>
    </w:p>
    <w:p w:rsidR="004508D5" w:rsidRDefault="000122DD">
      <w:pPr>
        <w:rPr>
          <w:rFonts w:ascii="黑体" w:eastAsia="黑体" w:hAnsi="黑体" w:cs="黑体"/>
          <w:szCs w:val="21"/>
        </w:rPr>
      </w:pPr>
      <w:r>
        <w:rPr>
          <w:rFonts w:ascii="Arial" w:eastAsia="宋体" w:hAnsi="Arial" w:hint="eastAsia"/>
          <w:b/>
          <w:noProof/>
          <w:color w:val="66391B"/>
          <w:sz w:val="20"/>
          <w:szCs w:val="20"/>
        </w:rPr>
        <w:drawing>
          <wp:inline distT="0" distB="0" distL="114300" distR="114300">
            <wp:extent cx="6184900" cy="1205230"/>
            <wp:effectExtent l="0" t="0" r="6350" b="13970"/>
            <wp:docPr id="42" name="图片 42" descr="T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TWI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8D5" w:rsidRDefault="004508D5">
      <w:pPr>
        <w:spacing w:line="360" w:lineRule="auto"/>
        <w:rPr>
          <w:rFonts w:ascii="黑体" w:eastAsia="黑体" w:hAnsi="黑体" w:cs="黑体"/>
          <w:b/>
          <w:bCs/>
          <w:color w:val="92D050"/>
          <w:sz w:val="24"/>
        </w:rPr>
      </w:pPr>
    </w:p>
    <w:p w:rsidR="004508D5" w:rsidRDefault="004508D5">
      <w:pPr>
        <w:spacing w:line="360" w:lineRule="auto"/>
        <w:rPr>
          <w:rFonts w:ascii="黑体" w:eastAsia="黑体" w:hAnsi="黑体" w:cs="黑体"/>
          <w:b/>
          <w:bCs/>
          <w:color w:val="92D050"/>
          <w:sz w:val="24"/>
        </w:rPr>
      </w:pPr>
    </w:p>
    <w:p w:rsidR="004508D5" w:rsidRDefault="004508D5">
      <w:pPr>
        <w:spacing w:line="360" w:lineRule="auto"/>
        <w:rPr>
          <w:rFonts w:ascii="黑体" w:eastAsia="黑体" w:hAnsi="黑体" w:cs="黑体"/>
          <w:b/>
          <w:bCs/>
          <w:color w:val="92D050"/>
          <w:sz w:val="24"/>
        </w:rPr>
      </w:pPr>
      <w:r w:rsidRPr="004508D5">
        <w:rPr>
          <w:sz w:val="40"/>
        </w:rPr>
        <w:lastRenderedPageBreak/>
        <w:pict>
          <v:shape id="_x0000_s1036" type="#_x0000_t109" style="position:absolute;left:0;text-align:left;margin-left:73pt;margin-top:-56.6pt;width:327.8pt;height:55.7pt;z-index:251692032" o:gfxdata="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+M2Ny2AAAAAoBAAAPAAAA&#10;AAAAAAEAIAAAACIAAABkcnMvZG93bnJldi54bWxQSwECFAAUAAAACACHTuJAWY6yeKMBAAAQAwAA&#10;DgAAAAAAAAABACAAAAAnAQAAZHJzL2Uyb0RvYy54bWxQSwUGAAAAAAYABgBZAQAAPAUAAAAA&#10;" filled="f" stroked="f" strokeweight="1.25pt">
            <v:textbox>
              <w:txbxContent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A5A5A5" w:themeColor="accent3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TWI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一线主管综合技能训练</w:t>
                  </w:r>
                </w:p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color w:val="0000CC"/>
                      <w:sz w:val="44"/>
                      <w:szCs w:val="44"/>
                    </w:rPr>
                    <w:t xml:space="preserve">        </w:t>
                  </w: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Pr="004508D5">
        <w:pict>
          <v:rect id="_x0000_s1035" style="position:absolute;left:0;text-align:left;margin-left:-53.85pt;margin-top:16.6pt;width:600.85pt;height:6pt;flip:y;z-index:251684864;v-text-anchor:middle" o:gfxdata="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S+6N2AAAAAsBAAAPAAAAAAAAAAEAIAAAACIAAABkcnMvZG93bnJldi54bWxQSwECFAAUAAAA&#10;CACHTuJAIQd6eicCAABvBAAADgAAAAAAAAABACAAAAAnAQAAZHJzL2Uyb0RvYy54bWxQSwUGAAAA&#10;AAYABgBZAQAAwAUAAAAA&#10;" fillcolor="#9dc3e6" stroked="f" strokeweight="1pt">
            <v:fill color2="#0b6e38" rotate="t" angle="45" focus="100%" type="gradient">
              <o:fill v:ext="view" type="gradientUnscaled"/>
            </v:fill>
          </v:rect>
        </w:pict>
      </w:r>
      <w:r w:rsidR="000122DD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-1060450</wp:posOffset>
            </wp:positionV>
            <wp:extent cx="7872095" cy="1279525"/>
            <wp:effectExtent l="0" t="76200" r="90805" b="15875"/>
            <wp:wrapNone/>
            <wp:docPr id="26" name="图片 6" descr="E:\肖风工作常用\新版课程大纲\图片素材\banner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E:\肖风工作常用\新版课程大纲\图片素材\banner\10.jpg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08D5" w:rsidRDefault="004508D5">
      <w:pPr>
        <w:spacing w:line="360" w:lineRule="auto"/>
        <w:rPr>
          <w:rFonts w:ascii="黑体" w:eastAsia="黑体" w:hAnsi="黑体" w:cs="黑体"/>
          <w:b/>
          <w:bCs/>
          <w:color w:val="92D050"/>
          <w:sz w:val="24"/>
        </w:rPr>
      </w:pPr>
    </w:p>
    <w:p w:rsidR="004508D5" w:rsidRDefault="000122DD">
      <w:pPr>
        <w:spacing w:line="360" w:lineRule="auto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92D050"/>
          <w:sz w:val="24"/>
        </w:rPr>
        <w:t>课程大纲</w:t>
      </w:r>
    </w:p>
    <w:p w:rsidR="004508D5" w:rsidRDefault="004508D5">
      <w:pPr>
        <w:spacing w:line="360" w:lineRule="exact"/>
        <w:rPr>
          <w:rFonts w:ascii="黑体" w:eastAsia="黑体" w:hAnsi="黑体" w:cs="黑体"/>
          <w:bCs/>
          <w:szCs w:val="21"/>
        </w:rPr>
        <w:sectPr w:rsidR="004508D5">
          <w:type w:val="continuous"/>
          <w:pgSz w:w="11906" w:h="16838"/>
          <w:pgMar w:top="1440" w:right="1080" w:bottom="1440" w:left="1080" w:header="227" w:footer="992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720"/>
          <w:docGrid w:type="lines" w:linePitch="312"/>
        </w:sectPr>
      </w:pPr>
    </w:p>
    <w:p w:rsidR="004508D5" w:rsidRDefault="000122DD">
      <w:pPr>
        <w:spacing w:line="360" w:lineRule="exact"/>
        <w:rPr>
          <w:rFonts w:ascii="黑体" w:eastAsia="黑体" w:hAnsi="黑体" w:cs="黑体"/>
          <w:b/>
          <w:sz w:val="20"/>
          <w:szCs w:val="20"/>
        </w:rPr>
      </w:pPr>
      <w:r>
        <w:rPr>
          <w:rFonts w:ascii="黑体" w:eastAsia="黑体" w:hAnsi="黑体" w:cs="黑体" w:hint="eastAsia"/>
          <w:b/>
          <w:sz w:val="20"/>
          <w:szCs w:val="20"/>
        </w:rPr>
        <w:lastRenderedPageBreak/>
        <w:t>第一章</w:t>
      </w:r>
      <w:r>
        <w:rPr>
          <w:rFonts w:ascii="黑体" w:eastAsia="黑体" w:hAnsi="黑体" w:cs="黑体" w:hint="eastAsia"/>
          <w:b/>
          <w:sz w:val="20"/>
          <w:szCs w:val="20"/>
        </w:rPr>
        <w:tab/>
      </w:r>
      <w:r>
        <w:rPr>
          <w:rFonts w:ascii="黑体" w:eastAsia="黑体" w:hAnsi="黑体" w:cs="黑体" w:hint="eastAsia"/>
          <w:b/>
          <w:sz w:val="20"/>
          <w:szCs w:val="20"/>
        </w:rPr>
        <w:t>主管角色与职责篇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当今客户的要求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主管应明确的五个基本问题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一线主管的含义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一线主管必备的六个条件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一线主管的职责角色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主管要自律的五项行为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现场管理之屋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建立主管作业标准化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小组讨论：团队成员讨论思考制订工作标准并向大家进行展示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成功与失败的现场管理者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主管的职业成长障碍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主管的职业发展规划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个人作业：每个管理者根据</w:t>
      </w:r>
      <w:r>
        <w:rPr>
          <w:rFonts w:ascii="黑体" w:eastAsia="黑体" w:hAnsi="黑体" w:cs="黑体" w:hint="eastAsia"/>
          <w:bCs/>
          <w:sz w:val="20"/>
          <w:szCs w:val="20"/>
        </w:rPr>
        <w:t>SWOT</w:t>
      </w:r>
      <w:r>
        <w:rPr>
          <w:rFonts w:ascii="黑体" w:eastAsia="黑体" w:hAnsi="黑体" w:cs="黑体" w:hint="eastAsia"/>
          <w:bCs/>
          <w:sz w:val="20"/>
          <w:szCs w:val="20"/>
        </w:rPr>
        <w:t>分析制订个人职业发展规划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本章授课方式：讲师讲解、讨论分享、练习展示、故事感悟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本章输出工具：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①主管标准工作表、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②主管职业发展规划表</w:t>
      </w:r>
    </w:p>
    <w:p w:rsidR="004508D5" w:rsidRDefault="000122DD">
      <w:pPr>
        <w:spacing w:line="360" w:lineRule="exact"/>
        <w:rPr>
          <w:rFonts w:ascii="黑体" w:eastAsia="黑体" w:hAnsi="黑体" w:cs="黑体"/>
          <w:b/>
          <w:sz w:val="20"/>
          <w:szCs w:val="20"/>
        </w:rPr>
      </w:pPr>
      <w:r>
        <w:rPr>
          <w:rFonts w:ascii="黑体" w:eastAsia="黑体" w:hAnsi="黑体" w:cs="黑体" w:hint="eastAsia"/>
          <w:b/>
          <w:sz w:val="20"/>
          <w:szCs w:val="20"/>
        </w:rPr>
        <w:t>第二章</w:t>
      </w:r>
      <w:r>
        <w:rPr>
          <w:rFonts w:ascii="黑体" w:eastAsia="黑体" w:hAnsi="黑体" w:cs="黑体" w:hint="eastAsia"/>
          <w:b/>
          <w:sz w:val="20"/>
          <w:szCs w:val="20"/>
        </w:rPr>
        <w:t xml:space="preserve">   TWI</w:t>
      </w:r>
      <w:r>
        <w:rPr>
          <w:rFonts w:ascii="黑体" w:eastAsia="黑体" w:hAnsi="黑体" w:cs="黑体" w:hint="eastAsia"/>
          <w:b/>
          <w:sz w:val="20"/>
          <w:szCs w:val="20"/>
        </w:rPr>
        <w:t>——工作指导篇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生产与问题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生产现场常见问题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培训的必要性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不完善的指导方法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指导方法错误或训练不足导致后果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正确指导方法的示范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发放正确指导四阶段法卡片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第一阶段：学习准备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第二阶段：传授工作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第三阶段：尝试练习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第四阶段：检验成效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工作指导忌语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lastRenderedPageBreak/>
        <w:t>现场演练与点评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角色演练：每个小组选取代表运用所学工作指导方法教导他人，其他小组作点评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游戏演练：画一只猪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游戏感悟：通过小游戏让学员感悟标准在实际工作中的价值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企业</w:t>
      </w:r>
      <w:r>
        <w:rPr>
          <w:rFonts w:ascii="黑体" w:eastAsia="黑体" w:hAnsi="黑体" w:cs="黑体" w:hint="eastAsia"/>
          <w:bCs/>
          <w:sz w:val="20"/>
          <w:szCs w:val="20"/>
        </w:rPr>
        <w:t>SOP</w:t>
      </w:r>
      <w:r>
        <w:rPr>
          <w:rFonts w:ascii="黑体" w:eastAsia="黑体" w:hAnsi="黑体" w:cs="黑体" w:hint="eastAsia"/>
          <w:bCs/>
          <w:sz w:val="20"/>
          <w:szCs w:val="20"/>
        </w:rPr>
        <w:t>分享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SOP</w:t>
      </w:r>
      <w:r>
        <w:rPr>
          <w:rFonts w:ascii="黑体" w:eastAsia="黑体" w:hAnsi="黑体" w:cs="黑体" w:hint="eastAsia"/>
          <w:bCs/>
          <w:sz w:val="20"/>
          <w:szCs w:val="20"/>
        </w:rPr>
        <w:t>与工作分解表区别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工作分解表编写方法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案例演练：吃包子的工作分解表编写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学员练习：编写吃包子工作分解表进行掌握工作分解表编写要领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工作指导前的准备工作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特殊工作的指导方法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为全体部属制订培训计划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本章授课方式：讲师讲解、讨论分享、练习展示、故事感悟、角色扮演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本章输出工具：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①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工作指导标准卡片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②工作指导过程效果检查表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③岗位工作分解表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④部属培训计划表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⑤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工作指导学员自训手册</w:t>
      </w:r>
    </w:p>
    <w:p w:rsidR="004508D5" w:rsidRDefault="000122DD">
      <w:pPr>
        <w:spacing w:line="360" w:lineRule="exact"/>
        <w:rPr>
          <w:rFonts w:ascii="黑体" w:eastAsia="黑体" w:hAnsi="黑体" w:cs="黑体"/>
          <w:b/>
          <w:sz w:val="20"/>
          <w:szCs w:val="20"/>
        </w:rPr>
      </w:pPr>
      <w:r>
        <w:rPr>
          <w:rFonts w:ascii="黑体" w:eastAsia="黑体" w:hAnsi="黑体" w:cs="黑体" w:hint="eastAsia"/>
          <w:b/>
          <w:sz w:val="20"/>
          <w:szCs w:val="20"/>
        </w:rPr>
        <w:t>第三章</w:t>
      </w:r>
      <w:r>
        <w:rPr>
          <w:rFonts w:ascii="黑体" w:eastAsia="黑体" w:hAnsi="黑体" w:cs="黑体" w:hint="eastAsia"/>
          <w:b/>
          <w:sz w:val="20"/>
          <w:szCs w:val="20"/>
        </w:rPr>
        <w:t xml:space="preserve">  TWI</w:t>
      </w:r>
      <w:r>
        <w:rPr>
          <w:rFonts w:ascii="黑体" w:eastAsia="黑体" w:hAnsi="黑体" w:cs="黑体" w:hint="eastAsia"/>
          <w:b/>
          <w:sz w:val="20"/>
          <w:szCs w:val="20"/>
        </w:rPr>
        <w:t>——工作改善篇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生产现场常见问题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改善目的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改善两大类型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现场改善的五项要求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现场改善的三现原则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生产现场常见八大浪费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学员互动分享：分享个人工作过程中存在的八大浪费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发放工作改善四阶段法卡片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第一阶段：分解作业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第二阶段：自问细节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-1056005</wp:posOffset>
            </wp:positionV>
            <wp:extent cx="7872095" cy="1279525"/>
            <wp:effectExtent l="0" t="76200" r="90805" b="15875"/>
            <wp:wrapNone/>
            <wp:docPr id="31" name="图片 6" descr="E:\肖风工作常用\新版课程大纲\图片素材\banner\10.jp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 descr="E:\肖风工作常用\新版课程大纲\图片素材\banner\10.jpg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508D5" w:rsidRPr="004508D5">
        <w:pict>
          <v:rect id="_x0000_s1034" style="position:absolute;left:0;text-align:left;margin-left:-55pt;margin-top:17.5pt;width:600.85pt;height:6pt;flip:y;z-index:251719680;mso-position-horizontal-relative:text;mso-position-vertical-relative:text;v-text-anchor:middle" o:gfxdata="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3hGo2AAAAAsBAAAPAAAAAAAAAAEAIAAAACIAAABkcnMvZG93bnJldi54bWxQSwECFAAUAAAA&#10;CACHTuJAu+7pbCcCAABvBAAADgAAAAAAAAABACAAAAAnAQAAZHJzL2Uyb0RvYy54bWxQSwUGAAAA&#10;AAYABgBZAQAAwAUAAAAA&#10;" fillcolor="#9dc3e6" stroked="f" strokeweight="1pt">
            <v:fill color2="#0b6e38" rotate="t" angle="45" focus="100%" type="gradient">
              <o:fill v:ext="view" type="gradientUnscaled"/>
            </v:fill>
          </v:rect>
        </w:pict>
      </w:r>
      <w:r>
        <w:rPr>
          <w:rFonts w:ascii="黑体" w:eastAsia="黑体" w:hAnsi="黑体" w:cs="黑体" w:hint="eastAsia"/>
          <w:bCs/>
          <w:sz w:val="20"/>
          <w:szCs w:val="20"/>
        </w:rPr>
        <w:t>第三阶段：构思新方法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第四阶段：实施新方法</w:t>
      </w:r>
      <w:r w:rsidR="004508D5" w:rsidRPr="004508D5">
        <w:rPr>
          <w:sz w:val="40"/>
        </w:rPr>
        <w:pict>
          <v:shape id="_x0000_s1033" type="#_x0000_t109" style="position:absolute;left:0;text-align:left;margin-left:74.15pt;margin-top:-62.8pt;width:327.8pt;height:55.7pt;z-index:251755520;mso-position-horizontal-relative:text;mso-position-vertical-relative:text" o:gfxdata="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vnghfZAAAADAEAAA8A&#10;AAAAAAAAAQAgAAAAIgAAAGRycy9kb3ducmV2LnhtbFBLAQIUABQAAAAIAIdO4kBKDn1VpAEAABAD&#10;AAAOAAAAAAAAAAEAIAAAACgBAABkcnMvZTJvRG9jLnhtbFBLBQYAAAAABgAGAFkBAAA+BQAAAAA=&#10;" filled="f" stroked="f" strokeweight="1.25pt">
            <v:textbox>
              <w:txbxContent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A5A5A5" w:themeColor="accent3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TWI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A5A5A5" w:themeColor="accent3"/>
                      <w:sz w:val="52"/>
                      <w:szCs w:val="52"/>
                    </w:rPr>
                    <w:t>一线主管综合技能训练</w:t>
                  </w:r>
                </w:p>
                <w:p w:rsidR="004508D5" w:rsidRDefault="000122DD">
                  <w:pPr>
                    <w:spacing w:line="840" w:lineRule="exact"/>
                    <w:rPr>
                      <w:rFonts w:ascii="黑体" w:eastAsia="黑体" w:hAnsi="黑体" w:cs="黑体"/>
                      <w:b/>
                      <w:bCs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cs="黑体" w:hint="eastAsia"/>
                      <w:color w:val="0000CC"/>
                      <w:sz w:val="44"/>
                      <w:szCs w:val="44"/>
                    </w:rPr>
                    <w:t xml:space="preserve">        </w:t>
                  </w: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  <w:p w:rsidR="004508D5" w:rsidRDefault="004508D5">
                  <w:pPr>
                    <w:rPr>
                      <w:rFonts w:ascii="黑体" w:eastAsia="黑体" w:hAnsi="黑体" w:cs="黑体"/>
                      <w:b/>
                      <w:bCs/>
                      <w:color w:val="0000CC"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bCs/>
          <w:sz w:val="20"/>
          <w:szCs w:val="20"/>
        </w:rPr>
        <w:t>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案例研讨：</w:t>
      </w:r>
      <w:r>
        <w:rPr>
          <w:rFonts w:ascii="黑体" w:eastAsia="黑体" w:hAnsi="黑体" w:cs="黑体" w:hint="eastAsia"/>
          <w:bCs/>
          <w:sz w:val="20"/>
          <w:szCs w:val="20"/>
        </w:rPr>
        <w:t>X</w:t>
      </w:r>
      <w:r>
        <w:rPr>
          <w:rFonts w:ascii="黑体" w:eastAsia="黑体" w:hAnsi="黑体" w:cs="黑体" w:hint="eastAsia"/>
          <w:bCs/>
          <w:sz w:val="20"/>
          <w:szCs w:val="20"/>
        </w:rPr>
        <w:t>、</w:t>
      </w:r>
      <w:r>
        <w:rPr>
          <w:rFonts w:ascii="黑体" w:eastAsia="黑体" w:hAnsi="黑体" w:cs="黑体" w:hint="eastAsia"/>
          <w:bCs/>
          <w:sz w:val="20"/>
          <w:szCs w:val="20"/>
        </w:rPr>
        <w:t>Y</w:t>
      </w:r>
      <w:r>
        <w:rPr>
          <w:rFonts w:ascii="黑体" w:eastAsia="黑体" w:hAnsi="黑体" w:cs="黑体" w:hint="eastAsia"/>
          <w:bCs/>
          <w:sz w:val="20"/>
          <w:szCs w:val="20"/>
        </w:rPr>
        <w:t>产品的包装及交货作业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学员练习：结合工作改善四阶段法分析案例存在问题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企业推进“改善文化”常见失败原因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管理者面对改善的错误心态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改善成功的十大技巧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持续改善带给企业的好处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本章授课方式：讲师讲解、讨论分享、练习展示、故事感悟、角色扮演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本章输出工具：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①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工作改善标准卡片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②八大浪费现场观测表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③工作改善作业分解表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④工作改善自问流程图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⑤</w:t>
      </w:r>
      <w:r>
        <w:rPr>
          <w:rFonts w:ascii="黑体" w:eastAsia="黑体" w:hAnsi="黑体" w:cs="黑体" w:hint="eastAsia"/>
          <w:bCs/>
          <w:sz w:val="20"/>
          <w:szCs w:val="20"/>
        </w:rPr>
        <w:t>Kamishibai</w:t>
      </w:r>
      <w:r>
        <w:rPr>
          <w:rFonts w:ascii="黑体" w:eastAsia="黑体" w:hAnsi="黑体" w:cs="黑体" w:hint="eastAsia"/>
          <w:bCs/>
          <w:sz w:val="20"/>
          <w:szCs w:val="20"/>
        </w:rPr>
        <w:t>纸卡改善系统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⑥</w:t>
      </w:r>
      <w:r>
        <w:rPr>
          <w:rFonts w:ascii="黑体" w:eastAsia="黑体" w:hAnsi="黑体" w:cs="黑体" w:hint="eastAsia"/>
          <w:bCs/>
          <w:sz w:val="20"/>
          <w:szCs w:val="20"/>
        </w:rPr>
        <w:t>3C</w:t>
      </w:r>
      <w:r>
        <w:rPr>
          <w:rFonts w:ascii="黑体" w:eastAsia="黑体" w:hAnsi="黑体" w:cs="黑体" w:hint="eastAsia"/>
          <w:bCs/>
          <w:sz w:val="20"/>
          <w:szCs w:val="20"/>
        </w:rPr>
        <w:t>问题改善跟踪表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⑦改善提案统一模板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⑧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工作改善学员自训手册</w:t>
      </w:r>
    </w:p>
    <w:p w:rsidR="004508D5" w:rsidRDefault="000122DD">
      <w:pPr>
        <w:spacing w:line="360" w:lineRule="exact"/>
        <w:rPr>
          <w:rFonts w:ascii="黑体" w:eastAsia="黑体" w:hAnsi="黑体" w:cs="黑体"/>
          <w:b/>
          <w:sz w:val="20"/>
          <w:szCs w:val="20"/>
        </w:rPr>
      </w:pPr>
      <w:r>
        <w:rPr>
          <w:rFonts w:ascii="黑体" w:eastAsia="黑体" w:hAnsi="黑体" w:cs="黑体" w:hint="eastAsia"/>
          <w:b/>
          <w:sz w:val="20"/>
          <w:szCs w:val="20"/>
        </w:rPr>
        <w:t>第四章</w:t>
      </w:r>
      <w:r>
        <w:rPr>
          <w:rFonts w:ascii="黑体" w:eastAsia="黑体" w:hAnsi="黑体" w:cs="黑体" w:hint="eastAsia"/>
          <w:b/>
          <w:sz w:val="20"/>
          <w:szCs w:val="20"/>
        </w:rPr>
        <w:t xml:space="preserve">  TWI</w:t>
      </w:r>
      <w:r>
        <w:rPr>
          <w:rFonts w:ascii="黑体" w:eastAsia="黑体" w:hAnsi="黑体" w:cs="黑体" w:hint="eastAsia"/>
          <w:b/>
          <w:sz w:val="20"/>
          <w:szCs w:val="20"/>
        </w:rPr>
        <w:t>——工作关系篇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工作现场常见问题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主管用人存在的常见问题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一线主管的责任图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讨论交流：一线主管与下属之间的关系线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了解每个下属的方法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从马斯洛模型看员工需求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组织结构变化对管理的挑战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工作现场问题处理四步骤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第一阶段：掌握事实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第二阶段：慎思决定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第三阶段：采取措施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第四阶段：确认结果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建立良好人际关系的基本要诀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要告诉下属工作情形如何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表现好时要及时表扬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对下属有影响的变动要事先通知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充分发挥下属的能力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学员分享：个人在工作中建立良好人际关系的心得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lastRenderedPageBreak/>
        <w:t>掌握想法与心情的（沟通</w:t>
      </w:r>
      <w:r>
        <w:rPr>
          <w:rFonts w:ascii="黑体" w:eastAsia="黑体" w:hAnsi="黑体" w:cs="黑体" w:hint="eastAsia"/>
          <w:bCs/>
          <w:sz w:val="20"/>
          <w:szCs w:val="20"/>
        </w:rPr>
        <w:t>6</w:t>
      </w:r>
      <w:r>
        <w:rPr>
          <w:rFonts w:ascii="黑体" w:eastAsia="黑体" w:hAnsi="黑体" w:cs="黑体" w:hint="eastAsia"/>
          <w:bCs/>
          <w:sz w:val="20"/>
          <w:szCs w:val="20"/>
        </w:rPr>
        <w:t>原则）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案例讨论：张强的故事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案例讨论：李明的故事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建立部属成员心情管理看板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本章授课方式：讲解、讨论分享、练习展示、故事感悟、视频观看、角色扮演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本章输出工具：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①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工作关系标准卡片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②工作人际问题处理四步骤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③建立良好人际关系技能实施跟进表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④部属心情管理看板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⑤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工作关系学员自训手册</w:t>
      </w:r>
    </w:p>
    <w:p w:rsidR="004508D5" w:rsidRDefault="000122DD">
      <w:pPr>
        <w:spacing w:line="360" w:lineRule="exact"/>
        <w:rPr>
          <w:rFonts w:ascii="黑体" w:eastAsia="黑体" w:hAnsi="黑体" w:cs="黑体"/>
          <w:b/>
          <w:sz w:val="20"/>
          <w:szCs w:val="20"/>
        </w:rPr>
      </w:pPr>
      <w:r>
        <w:rPr>
          <w:rFonts w:ascii="黑体" w:eastAsia="黑体" w:hAnsi="黑体" w:cs="黑体" w:hint="eastAsia"/>
          <w:b/>
          <w:sz w:val="20"/>
          <w:szCs w:val="20"/>
        </w:rPr>
        <w:t>第五章：</w:t>
      </w:r>
      <w:r>
        <w:rPr>
          <w:rFonts w:ascii="黑体" w:eastAsia="黑体" w:hAnsi="黑体" w:cs="黑体" w:hint="eastAsia"/>
          <w:b/>
          <w:sz w:val="20"/>
          <w:szCs w:val="20"/>
        </w:rPr>
        <w:t>TWI</w:t>
      </w:r>
      <w:r>
        <w:rPr>
          <w:rFonts w:ascii="黑体" w:eastAsia="黑体" w:hAnsi="黑体" w:cs="黑体" w:hint="eastAsia"/>
          <w:b/>
          <w:sz w:val="20"/>
          <w:szCs w:val="20"/>
        </w:rPr>
        <w:t>——工作安全篇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生产现场常见安全问题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遵守安全到底为了谁？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触目惊心的数字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中国的马路战争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安全事故的因果关系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一线主管安全的责任与觉悟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防止事故的必要性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学员分享：如果我发生了事故，对我的影响？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预防、消除工作安全隐患的方法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第一阶段：查明原因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第二阶段：思考决定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第三阶段：实施对策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第四阶段：检查结果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安全点检的方法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安全三原则：整理整顿、维护点检、标准作业</w:t>
      </w:r>
    </w:p>
    <w:p w:rsidR="004508D5" w:rsidRDefault="000122DD">
      <w:pPr>
        <w:numPr>
          <w:ilvl w:val="0"/>
          <w:numId w:val="1"/>
        </w:num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现场作业危险源评估与预防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本章授课方式：讲解、讨论分享、练习展示、故事感悟、视频观看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>本章输出工具：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①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工作安全标准卡片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②现场工作安全处理四步骤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③安全目视化表</w:t>
      </w:r>
    </w:p>
    <w:p w:rsidR="004508D5" w:rsidRDefault="000122DD">
      <w:pPr>
        <w:spacing w:line="360" w:lineRule="exact"/>
        <w:rPr>
          <w:rFonts w:ascii="黑体" w:eastAsia="黑体" w:hAnsi="黑体" w:cs="黑体"/>
          <w:bCs/>
          <w:sz w:val="20"/>
          <w:szCs w:val="20"/>
        </w:r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④现场安全操作作业指导书</w:t>
      </w:r>
    </w:p>
    <w:p w:rsidR="004508D5" w:rsidRPr="00E41F50" w:rsidRDefault="000122DD" w:rsidP="00E41F50">
      <w:pPr>
        <w:spacing w:line="360" w:lineRule="exact"/>
        <w:rPr>
          <w:rFonts w:ascii="黑体" w:eastAsia="黑体" w:hAnsi="黑体" w:cs="黑体"/>
          <w:bCs/>
          <w:sz w:val="20"/>
          <w:szCs w:val="20"/>
        </w:rPr>
        <w:sectPr w:rsidR="004508D5" w:rsidRPr="00E41F50">
          <w:type w:val="continuous"/>
          <w:pgSz w:w="11906" w:h="16838"/>
          <w:pgMar w:top="1440" w:right="1080" w:bottom="1440" w:left="1080" w:header="227" w:footer="992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num="2" w:space="720" w:equalWidth="0">
            <w:col w:w="4660" w:space="425"/>
            <w:col w:w="4660"/>
          </w:cols>
          <w:docGrid w:type="lines" w:linePitch="312"/>
        </w:sectPr>
      </w:pPr>
      <w:r>
        <w:rPr>
          <w:rFonts w:ascii="黑体" w:eastAsia="黑体" w:hAnsi="黑体" w:cs="黑体" w:hint="eastAsia"/>
          <w:bCs/>
          <w:sz w:val="20"/>
          <w:szCs w:val="20"/>
        </w:rPr>
        <w:t xml:space="preserve">  </w:t>
      </w:r>
      <w:r>
        <w:rPr>
          <w:rFonts w:ascii="黑体" w:eastAsia="黑体" w:hAnsi="黑体" w:cs="黑体" w:hint="eastAsia"/>
          <w:bCs/>
          <w:sz w:val="20"/>
          <w:szCs w:val="20"/>
        </w:rPr>
        <w:t>⑤</w:t>
      </w:r>
      <w:r>
        <w:rPr>
          <w:rFonts w:ascii="黑体" w:eastAsia="黑体" w:hAnsi="黑体" w:cs="黑体" w:hint="eastAsia"/>
          <w:bCs/>
          <w:sz w:val="20"/>
          <w:szCs w:val="20"/>
        </w:rPr>
        <w:t>TWI</w:t>
      </w:r>
      <w:r>
        <w:rPr>
          <w:rFonts w:ascii="黑体" w:eastAsia="黑体" w:hAnsi="黑体" w:cs="黑体" w:hint="eastAsia"/>
          <w:bCs/>
          <w:sz w:val="20"/>
          <w:szCs w:val="20"/>
        </w:rPr>
        <w:t>工作安全学员自训</w:t>
      </w:r>
    </w:p>
    <w:p w:rsidR="004508D5" w:rsidRDefault="004508D5">
      <w:pPr>
        <w:spacing w:line="360" w:lineRule="auto"/>
        <w:rPr>
          <w:rFonts w:ascii="黑体" w:eastAsia="黑体" w:hAnsi="黑体" w:cs="黑体"/>
          <w:b/>
          <w:bCs/>
          <w:color w:val="92D050"/>
          <w:sz w:val="24"/>
        </w:rPr>
      </w:pPr>
    </w:p>
    <w:sectPr w:rsidR="004508D5" w:rsidSect="004508D5">
      <w:type w:val="continuous"/>
      <w:pgSz w:w="11906" w:h="16838"/>
      <w:pgMar w:top="1440" w:right="1080" w:bottom="1440" w:left="1080" w:header="227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DD" w:rsidRDefault="000122DD" w:rsidP="004508D5">
      <w:r>
        <w:separator/>
      </w:r>
    </w:p>
  </w:endnote>
  <w:endnote w:type="continuationSeparator" w:id="0">
    <w:p w:rsidR="000122DD" w:rsidRDefault="000122DD" w:rsidP="0045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50" w:rsidRDefault="00E41F50" w:rsidP="00E41F50">
    <w:pPr>
      <w:pStyle w:val="a4"/>
      <w:pBdr>
        <w:bottom w:val="single" w:sz="6" w:space="0" w:color="auto"/>
      </w:pBdr>
      <w:jc w:val="both"/>
      <w:rPr>
        <w:rFonts w:ascii="黑体" w:eastAsia="黑体" w:hAnsi="微软雅黑" w:cs="Arial"/>
        <w:b/>
        <w:sz w:val="16"/>
        <w:szCs w:val="16"/>
      </w:rPr>
    </w:pPr>
    <w:hyperlink r:id="rId1" w:history="1">
      <w:r w:rsidRPr="006B68FF">
        <w:rPr>
          <w:rStyle w:val="a6"/>
          <w:rFonts w:eastAsia="宋体" w:hint="eastAsia"/>
        </w:rPr>
        <w:t>www.zoebon.com</w:t>
      </w:r>
    </w:hyperlink>
    <w:r>
      <w:rPr>
        <w:rFonts w:eastAsia="宋体" w:hint="eastAsia"/>
      </w:rPr>
      <w:t xml:space="preserve">                             400-669-0521                  </w:t>
    </w:r>
    <w:r>
      <w:rPr>
        <w:rFonts w:eastAsia="宋体" w:hint="eastAsia"/>
      </w:rPr>
      <w:t>上海佐邦咨询</w:t>
    </w:r>
    <w:r>
      <w:rPr>
        <w:rFonts w:eastAsia="宋体" w:hint="eastAsia"/>
      </w:rPr>
      <w:t>--</w:t>
    </w:r>
    <w:r>
      <w:rPr>
        <w:rFonts w:eastAsia="宋体" w:hint="eastAsia"/>
      </w:rPr>
      <w:t>实战落地辅导以数据说话</w:t>
    </w:r>
  </w:p>
  <w:p w:rsidR="004508D5" w:rsidRPr="00E41F50" w:rsidRDefault="004508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DD" w:rsidRDefault="000122DD" w:rsidP="004508D5">
      <w:r>
        <w:separator/>
      </w:r>
    </w:p>
  </w:footnote>
  <w:footnote w:type="continuationSeparator" w:id="0">
    <w:p w:rsidR="000122DD" w:rsidRDefault="000122DD" w:rsidP="00450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69FD"/>
    <w:multiLevelType w:val="singleLevel"/>
    <w:tmpl w:val="580D69F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D5"/>
    <w:rsid w:val="000122DD"/>
    <w:rsid w:val="004508D5"/>
    <w:rsid w:val="00E41F50"/>
    <w:rsid w:val="05987343"/>
    <w:rsid w:val="1391014A"/>
    <w:rsid w:val="16BF67DB"/>
    <w:rsid w:val="282A5668"/>
    <w:rsid w:val="3134573A"/>
    <w:rsid w:val="3A677DA1"/>
    <w:rsid w:val="3B002349"/>
    <w:rsid w:val="3E7700C7"/>
    <w:rsid w:val="4B674E3F"/>
    <w:rsid w:val="4DDD2D26"/>
    <w:rsid w:val="598C1468"/>
    <w:rsid w:val="65C440DD"/>
    <w:rsid w:val="70EA08F7"/>
    <w:rsid w:val="74C2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0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450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yahei">
    <w:name w:val="yahei"/>
    <w:basedOn w:val="a0"/>
    <w:qFormat/>
    <w:rsid w:val="004508D5"/>
  </w:style>
  <w:style w:type="paragraph" w:styleId="a5">
    <w:name w:val="Balloon Text"/>
    <w:basedOn w:val="a"/>
    <w:link w:val="Char0"/>
    <w:rsid w:val="00E41F50"/>
    <w:rPr>
      <w:sz w:val="18"/>
      <w:szCs w:val="18"/>
    </w:rPr>
  </w:style>
  <w:style w:type="character" w:customStyle="1" w:styleId="Char0">
    <w:name w:val="批注框文本 Char"/>
    <w:basedOn w:val="a0"/>
    <w:link w:val="a5"/>
    <w:rsid w:val="00E41F50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E41F50"/>
    <w:rPr>
      <w:kern w:val="2"/>
      <w:sz w:val="18"/>
      <w:szCs w:val="18"/>
    </w:rPr>
  </w:style>
  <w:style w:type="character" w:styleId="a6">
    <w:name w:val="Hyperlink"/>
    <w:basedOn w:val="a0"/>
    <w:rsid w:val="00E41F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eb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2088</Characters>
  <Application>Microsoft Office Word</Application>
  <DocSecurity>0</DocSecurity>
  <Lines>17</Lines>
  <Paragraphs>4</Paragraphs>
  <ScaleCrop>false</ScaleCrop>
  <Company>http://sdwm.org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2017-02-26T03:34:00Z</dcterms:created>
  <dcterms:modified xsi:type="dcterms:W3CDTF">2017-02-26T03:34:00Z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